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Удмуртской Республики от 01.06.2020 исковые требования удовлетворены частично, с предпринимателя в пользу общества взыскано 65 000 руб. долга, 44 800 руб. пеней. Постановлением Семнадцатого арбитражного апелляционного суда от 08.09.2020 решение суда первой инстанции изменено, с предпринимателя в пользу общества взыскано 32 500 руб. долга, 11 182 руб. 50 коп. неустойки, в удовлетворении остальной части исковых требований отказано; распределены судебные расходы. Постановлением Арбитражного суда Уральского округа от 12.01.2021 постановление суда апелляционной инстанции оставлено без изменения. 2 В кассационной жалобе, поданной в Верховный Суд Российской Федерации, общество, ссылаясь на нарушение судами апелляционной инстанции и округа норм материального и процессуального права, просит отменить их постановления и оставить в силе решение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состоявшихся по делу судебных актов и доводов кассационной жалобы не установлено. Суд апелляционной инстанции, повторно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спорного договора, установил, что часть оказанных обществом услуг не соответствует условиям договора, в связи с чем пришел к выводу о наличии у предпринимателя права требовать соразмерного уменьшения их стоимости. Руководствуясь статьями 329, 330, 333, 720, 721, 723, 779, 781, 783 Гражданского кодекса Российской Федерации, разъяснениями, изложенными в информационном письме Высшего Арбитражного Суда Российской Федерации от 24.01.2000 № 51 «Обзор практики разрешения споров по договору строительного подряда»,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проверив и признав верным расчет предпринимателя, принимая во внимание его заявление о снижении размера неустойки, суд частично удовлетворил исковые требования, с чем впоследствии согласился суд округа. Доводы заявителя были предметом рассмотрения суда округа и получили правовую оценку. Доводы кассационной жалобы выводы судов не опровергают,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«Медиа Группа «Парацельс»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