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Кригер Иван Иванович обратился в Арбитражный суд Вологодской области с иском к обществу о взыскании 4 319 527 руб. убытков, К участию в деле в качестве третьего лица, не заявляющего самостоятельных требований относительно предмета спора, привлечено Управление Федеральной службы государственной регистрации, кадастра и картографии по Вологодской области, Решением Арбитражного суда Вологодской области от 12.05.2020 иск удовлетворен. Определением Четырнадцатого арбитражного апелляционного суда от 02.11.2020 апелляционная жалоба общества возвращена на основании пункта 3 части 1 статьи 264 Арбитражного процессуального кодекса Российской Федерации. Общество обратилось в Арбитражный суд Северо-Западного округа с кассационной жалобой на решение суда первой инстанции, заявив ходатайство о восстановлении пропущенного процессуального срока. Арбитражный суд Северо-Западного округа определением от 24.12.2020, оставленным без изменения определением того же суда от 25.02.2021, возвратил кассационную жалобу заявителя на основании пункта 2 части 1 статьи 281 Арбитражного процессуального кодекса Российской Федерации 2 в связи с пропуском срока подачи и отказом в удовлетворении ходатайства о его восстановлении. В кассационной жалобе, поданной в Верховный Суд Российской Федерации, общество просит отменить указанные определения суда округа, ссылаясь на их незаконность.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Отказывая в удовлетворении ходатайства о восстановлении пропущенного процессуального срока и возвращая кассационную жалобу общества, суд округа руководствовался положениями статей 117, 123, 276, 281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30.07.2013 № 61 «О некоторых вопросах практики рассмотрения споров, связанных с достоверностью адреса юридического лица», постановлении Пленума Высшего Арбитражного Суда Российской Федерации от 25.12.2013 № 99 «О процессуальных сроках», и исходил из того, что приведенные заявителем причины пропуска срока не являются уважительными. С указанными выводами согласился арбитражный суд округа при рассмотрении жалобы заявителя, поданной в порядке статьи 291 Арбитражного процессуального кодекса Российской Федерации. Доводы кассационной жалобы не опровергают выводы суда и не подтверждают существенных нарушений норм права, повлиявших на исход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«Капис-Втор»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