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10.09.2020, постановление Девятого арбитражного апелляционного суда от 23.11.2020 и постановление Арбитражного суда Московского округа от 18.02.2021 по делу № А40-90399/2020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