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обратилась в Арбитражный суд Республики Крым с исковым заявлением к обществу о взыскании 1 226 080 руб. 74 коп. задолженности, 299 633 руб. 96 коп. пеней, 23 000 руб. расходов на юридические услуги. Общество предъявило встречный иск о взыскании с компании 75 575 руб. 33 коп. неустойки. Решением Арбитражного суда Республики Крым от 08.10.2019 первоначальные и встречные исковые требования удовлетворены, распределены судебные расходы. Постановлением Двадцать первого арбитражного апелляционного суда от 05.02.2020 решение суда первой инстанции в части удовлетворения первоначальных исковых требований изменено, с общества в пользу компании взыскано 1 053 314 руб. 34 коп. задолженности, 293 963 руб. 69 коп. неустойки, 20 309 руб. судебных расходов на оплату услуг представителя, в удовлетворении остальной части первоначальных требований отказано, распределены расходы по уплате государственной пошлины; в остальной части решение суда оставлено без изменения. 2 Дополнительным постановлением Двадцать первого арбитражного апелляционного суда от 20.02.2020 с компании в пользу общества взыскано 351 руб. судебных расходов по уплате государственной пошлины за рассмотрение дела в суде апелляционной инстанции. Компания обратилась в арбитражный суд с заявлением о взыскании с общества 132 450 руб. судебных расходов на оплату услуг представителя, 30 755 руб. 15 коп. расходов на оплату проезда и проживания представителя в связи с участием в судебных заседаниях. Определением Арбитражного суда Республики Крым от 19.06.2020, оставленным без изменения постановлением Двадцать первого арбитражного апелляционного суда от 04.08.2020 и постановлением Арбитражного суда Центрального округа от 14.01.2021, заявление компании возвращено. В кассационной жалобе, поданной в Верховный Суд Российской Федерации, общество, ссылаясь на нарушение судами норм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компании заявление о взыскании судебных расходов, суд первой инстанции, выводы которого впоследствии поддержали суды апелляционной инстанции и округа, руководствовался статьями 110, 112, 115, 117 Арбитражного процессуального кодекса Российской Федерации, разъяснениями, изложенными в пункте 30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и исходил из пропуска установленного срока подачи заявления и отсутствия ходатайства о его восстановлении.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Промышленная компания «Восток»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