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03.07.2020, оставленным без изменения постановлением Девятнадцатого арбитражного апелляционного суда от 20.10.2020, в удовлетворении заявления отказано. Постановлением Арбитражного суда Центрального округа от 19.01.2021 указанные судебные акты отменены, дело направлено на новое рассмотрение в суд первой инстанции. Общество, привлеченное к участию в деле в качестве третьего лица, не заявляющего самостоятельных требований относительно предмета спора,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исходил из того, что выводы судов о наличии правонарушения являются преждевременными, сделанными в отсутствие оценки обоснованности действий электроснабжающей компании с учетом внесенных в заявку на технологическое присоединение изменений.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дела, основания для передачи жалобы для пересмотра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ПАО "МРСК-Центра-"Воронежэнерго" (подробнее) Ответчики: УФАС ПО ВОРОНЕЖСКОЙ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