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24.07.2020, оставленным без изменения постановлением Десятого арбитражного апелляционного суда от 17.09.2020, в удовлетворении требования отказано. Постановлением Арбитражного суда Московского округа от 18.01.2021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общество привлечено к административной ответственности, предусмотренной частью 1 статьи 15.25 Кодекса Российской Федерации об административных правонарушениях в части назначенного штрафа, за осуществление незаконных валютных операций, и ему назначено наказание в виде административного штрафа в размере 50 процентов от трех четвертых суммы незаконной валютной операции, в размере 149 089, 76 рублей с учетом положений статьи 4.1 Кодекса Российской Федерации об административных правонарушениях. 3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в удовлетворении требований об изменении оспариваемого постановления в части размера назначенного штрафа. Оснований для признания правонарушения малозначительным суды не установили, так же как не нашли оснований для снижения размера назначенного административного штрафа в соответствии с положениями части 3.2 статьи 4.1 Кодекса Российской Федерации об административных правонарушениях. Доводы общества направлены на установление иных фактических обстоятельств дела, связанных с оценкой обоснованности назначенного обществу административного наказания, что не отнесено к полномочиям Судебной коллегии Верховного Суда Российской Федерации. Указанные доводы также противоречат правовой позиции, изложенной в Определении Конституционного Суда Российской Федерации от 29.10.2020 № 2393-О. Ссылка общества на иную судебную практику в отношении другого лица сама по себе не может служить основанием для отмены обжалуемых судебных актов, в том числе, с учетом фактических обстоятельств настоящего спора.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