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18.08.2020, оставленным без изменения постановлением Десятого арбитражного апелляционного суда от 19.10.2020, заявленное требование удовлетворено. 2 Постановлением Арбитражного суда Московского округа от 16.02.2021 указанные судебные акты оставлены без изменения. Административный орган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суды пришли к выводу о недоказанности административным органом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правонарушениях. Доводы жалобы были предметом исследования судов и получили исчерпывающую правовую оценку с учетом того, что факт незаключения договора по предоставлению потребителю коммунальной услуги по обращению с твердыми коммунальными отходами, обществу не вменялось, не согласиться с которой оснований не имеется. Указанные выводы судов в жалобе не опровергнуты. 3 Иные доводы сводятся к несогласию заявителя с установленными судами фактическими обстоятельствами дела относительно отсутствия вины общества в представлении региональному оператору неполной информации,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