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07.07.2020, оставленным без изменения постановлением Девятого арбитражного апелляционного суда от 05.11.2020, в удовлетворении заявленного требования отказано. 2 Постановлением Арбитражного суда Московского округа от 18.02.2021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судом нарушения норм материального и процессуального права. Исходя из доводов жалобы оснований для ее удовлетворения не установлено. Как следует из судебных актов, основанием для привлечения к ответственности послужил выявленный административным органом факт несоблюдения обществом Правил проведения земляных работ, установки временных ограждений, размещения временных объектов в городе Москве, утвержденных постановлением Правительства Москвы от 19.05.2015 № 299-ПП. Частью 1 статьи 8.18 КоАП г. Москвы установлена ответственность за нарушение установленных Правительством Москвы правил производства земляных работ и работ по организации площадок для проведения отдельных работ в сфере благоустройства, в том числе отсутствие утвержденной проектной документации или необходимых согласований при проведении указанных работ, несвоевременное восстановление благоустройства территории после их завершения, непринятие мер по ликвидации провала асфальта (грунта), связанного с производством разрытий, а также несоблюдение установленных требований к обустройству и содержанию строительных площадок. Оценив представленные доказательства,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1 статьи 8.18 КоАП г. Москвы. 3 Судами установлено, что процедура и срок давности привлечения к административной ответственности соблюдены. Штраф назначен в минимальном размере санкции нормы. Приведенные в жалобе доводы, идентичные изложенным в обоснование позиции общества при рассмотрении дела, подробно исследованы судами при рассмотрении дела и им дана соответствующая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