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24.09.2020, оставленным без изменения постановлением Девятого арбитражного апелляционного суда от 30.11.2020, требование удовлетворено. 2 Постановлением Арбитражного суда Московского округа 25.02.2021 указанные судебные акты оставлены без изменения. Административный орган просит состоявшиеся по делу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в материалах дела отсутствуют протокол об административном правонарушении и сведения о надлежащем извещении заявителя о времени и месте его составления, а также отсутствуют доказательства надлежащего извещения заявителя о времени и месте рассмотрения материалов административного дела, суды удовлетворили заявленные требования, признав оспариваемое постановление незаконным.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