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22.07.2020, оставленным без изменения постановлением Пятнадцатого арбитражного апелляционного суда от 22.10.2020, в удовлетворении требования отказано. Постановлением Арбитражного суда Северо-Кавказского округа от 13.01.2021 указанные судебные акты оставлены без изменения. Учреждение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признав факт ненадлежащего выполнения учреждением предписания органа исполнительной власти, осуществляющего федеральный государственный надзор в области промышленной безопасности в установленный срок, суды пришли к выводу о наличии в его действиях состава правонарушения по части 11 статьи 19.5 Кодекса Российской Федерации об административных правонарушениях. Доказательств невозможности соблюдения требований законодательства в силу чрезвычайных событий и обстоятельств, которые учреждение не могло предвидеть и предотвратить при соблюдении той степени заботливости и осмотрительности, которая от него требовалась, не установлено. 3 Процедура и срок давности привлечения к ответственности соблюдены, оснований для признания правонарушения малозначительным или снижения штрафа ниже низшего размера санкции нормы не выявлено. Доводы жалобы повторяют позицию учреждения по делу, являлись предметом рассмотрения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