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Алдан</w:t>
      </w:r>
    </w:p>
    <w:p>
      <w:pPr>
        <w:spacing w:after="200"/>
        <w:jc w:val="center"/>
      </w:pPr>
      <w:r>
        <w:rPr>
          <w:rFonts w:ascii="Times New Roman" w:hAnsi="Times New Roman" w:eastAsia="Times New Roman" w:cs="Times New Roman"/>
          <w:b w:val="0"/>
          <w:i w:val="0"/>
          <w:sz w:val="22"/>
        </w:rPr>
        <w:t>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19.08.2020, оставленным без изменения постановлениями Четвертого арбитражного апелляционного суда от 21.10.2020 и Арбитражного суда Восточно-Сибирского округа от 01.02.2021, иск предприятия удовлетворен. В кассационной жалобе, поданной в Верховный Суд Российской Федерации, администрация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обоснование исковых требований предприятие (подрядчик) ссылается на неисполнение со стороны администрации (заказчик) обязательств по оплате фактически выполненных работ по муниципальному контракту от 06.01.2019 № 1 на оказание услуг по содержанию дорог, улиц, площадей, инженерных и искусственных сооружений. Оценив представленные в материалы дела доказательства, суды, руководствуясь положениями статей 309, 310, 711, 720, 753, 767, 779, 781, 783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оснований для удовлетворения иска. Судебные инстанции исходили из того, что спорные работы были выполнены предприятием в период действия заключенного сторонами муниципального контракта, при этом стоимость работ не превышает 10 процентов от цены контракта. При исследовании обстоятельств дела установлено, что выполнение работ на заявленную сумму (2 064 847 рублей 97 копеек) подтверждено актом о приемке выполненных работ от 09.12.2019 № 12 (за период с 01.12.2019 по 09.12.2019), подписанным сторонами; каких-либо возражений по качеству и объему выполненных работ со стороны заказчика не заявлено. Кроме того, суды отметили, что принятие работ свидетельствует о потребительской ценности произведенных работ (оказанных услуг) для заказчика и желании ими воспользоваться, возврат выполненных работ (оказанных услуг) невозможен.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общества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 Алдан» Алданского района Республики Саха (Якутия)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