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Ростовской области от 19.06.2020, оставленным без изменения постановлением Пятнадцатого арбитражного апелляционного суда от 15.09.2020 и постановлением Северо-Кавказского округа от 14.01.2021, исковое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искового заявления.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и Министерством строительства, архитектуры и территориального развития Ростовской области 29.01.2018 заключено соглашение № 40 о предоставлении из областного бюджета в 2018 - 2019 годах Октябрьскому району Ростовской области субсидии на реконструкцию объектов образования муниципальной собственности. Постановлением администрации от 21.01.2015 № 16 школа наделена полномочиями муниципального заказчика, выступающего от имени муниципального образования «Октябрьский район». По результатам электронного аукциона 15.08.2018 школой (заказчик) и обществом (подрядчик) заключен контракт № 3950 на строительство здания начальной школы на 200 мест на территории школы станицы Кривянская. В связи с нарушением обществом сроков выполнения работ, контракт расторгнут и сведения об обществе включены в реестр недобросовестных поставщиков. Ввиду нарушения обязательств по соглашению о предоставлении субсидии в 2018 году администрацией (собственник и учредитель школы) на основании требования Министерства финансов Ростовской области от 31.10.2019 № 9Э-9.1.22/5243 и в соответствии с пунктом 20 Приложения № 1 к постановлению Правительства Ростовской области от 30.08.2012 № 834 «О порядке расходования субсидий и иных межбюджетных трансфертов, предоставляемых из областного бюджета местным бюджетам» (далее - Постановление № 834) перечислено в областной бюджет 1 760 100 рублей штрафа. Неисполнение обществом претензии об уплате убытков в виде уплаченных штрафных санкций, явилось основанием для обращения администрации в арбитражный суд. Рассматривая спор, суды первой и апелляционной инстанций,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3 нужд», пришли к выводу о наличии оснований для удовлетворения заявленного искового требования, с чем согласился суд округа. Судебные инстанции установили наличие совокупности условий для возмещения убытков, а именно противоправное поведение общества, выразившееся в ненадлежащем исполнении обязанностей по договору, расходы по оплате администрацией штрафных санкций в размере 5% от объема средств, предусмотренных соглашением на год, а также причинно-следственную связь между действиями ответчика и убытками. Суды указали, что решением Арбитражного суда Ростовской области от 05.12.2019 по делу № А53-39118/2019 обществу отказано в возложении обязанности на школу заключить дополнительное соглашение к контракту от 15.08.2019 № 3950 о продлении сроков выполнения работ. При этом при рассмотрении данного дела обществом не представлено доказательств существенных нарушений заказчиком условий контракта, необходимости уточнения порядка выполнения части работ; требования об уточнении работ направлены обществом спустя десять месяцев со дня заключения контракта и за полгода да окончания срока выполнения работ.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