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07.08.2020, оставленным без изменения постановлениями Тринадцатого арбитражного апелляционного суда от 12.11.2020 и Арбитражного суда Северо-Западного округа от 18.02.2021,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предписанием комитета на общество возложена обязанность демонтировать рекламную конструкцию – проекционную рекламную конструкцию, установленную и (или) эксплуатируемую без разрешения на установку и эксплуатацию рекламной конструкции. Не согласившись с ненормативным правовым актом комитета, общество обратилось в арбитражный суд. Отказывая в удовлетворении заявления, суды, исследовав и оценив представленные в материалы дела доказательства, руководствуясь положениями статей 3, 19 Федерального закона от 13.03.2006 № 38-ФЗ «О рекламе», правовой позицией, изложенной в пункте 1 постановления Пленума Высшего Арбитражного Суда Российской Федерации от 08.10.2012 № 58 «О некоторых вопросах практики применения арбитражными судами Федерального закона «О рекламе», постановлении Президиума Высшего Арбитражного Суда Российской Федерации от 16.11.2010 № 8263/10, информационном письме Президиума Высшего Арбитражного Суда Российской Федерации от 25.12.1998 № 37 «Обзор практики рассмотрения споров, связанных с применением законодательства о рекламе», пришли к выводу о наличии у комитета полномочий и законных оснований для выдачи оспариваемого предписания. Судебные инстанции исходили из того, что обществом по спорному адресу эксплуатируется рекламная конструкция в отсутствие соответствующего разрешения. При этом суды приняли во внимание внешний вид конструкции, ее размер и место расположения, содержание надписей и изображений, форму подачи информации (светящееся изображение на тротуаре в темное время суток), а также учли, что информация адресована неопределенному кругу лиц, направлена на привлечение внимания к деятельности общества, формирование и поддержание интереса к его услугам, их продвижению на рынке, в связи с чем указали, что информационное наполнение спорной конструкции не входит в состав информации, которую продавец обязан разместить на вывеске и довести до сведения потребителя в соответствии со статьями 8, 9, 10 Закона Российской Федерации от 07.02.1992 № 2300-1 «О защите прав потребителей». Приведенные в кассационной жалобе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3 чем не могут служить основанием для передачи жалобы на рассмотрение Судебной коллегии Верховного Суда Российской Федерации.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«Специализированный Застройщик «Гатчинская гольф – деревня»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