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05.06.2020, оставленным без изменения постановлением Девятого арбитражного апелляционного суда от 28.09.2020, в удовлетворении иска отказано. Арбитражный суд Московского округа постановлением от 22.01.2021 решение от 05.06.2020 и постановление Девятого арбитражного апелляционного суда от 28.09.2020 оставил без изменения. В кассационной жалобе кооператив просит об отмене судебных актов, ссылаясь на неисполнение договора в части разрешения правового статуса помещения, должного предшествовать реализации проекта.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содержание правоотношений сторон и не установили, что определение правового статуса помещения для реализации проекта является предметом договора от 14.03.2016 № 1 и соглашения от 14.06.2016, неисполнение которых вменяется кооперативом ответчику. Суды признали исполнение ответчиком обязательств по спорным сделкам в качестве основания к отказу в иске.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потребительскому гаражно-строительному кооперативу «Русский Ренессанс-Авто»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