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Калужской области от 31.01.2020, оставленным без изменения постановлением Двадцатого арбитражного апелляционного суда от 11.08.2020, по первоначальному иску взыскано 244 603 рубля 40 копеек задолженности и 65 064 рубля 50 копеек неустойки, встречный иск удовлетворен. Арбитражный суд Центрального округа постановлением от 23.12.2020 отменил решение от 31.01.2020 и постановление Двадцатого арбитражного апелляционного суда от 11.08.2020 в части отказа во взыскании убытков по первоначальному иску и удовлетворения встречного иска вследствие противоречивых выводов о распространении действия договора на первоначальные и встречные требования и направил дело в отмененной части на новое рассмотрение в Арбитражный суд Калужской области. В кассационной жалобе общество «ВСП» просит об отмене постановления окружного суда, ссылаясь на необоснованность выводов об обстоятельствах дела и нарушение пределов его рассмотрения.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различно определили юридическую силу договора в отношении первоначальных и встречных требований и неправомерно сочли незаключенным исполненный договор, поэтому признал необходимость нового рассмотрения части требований в пределах предоставленных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«ВСП»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