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22.09.2020 исковые требования удовлетворены в заявленном размере. Восемнадцатый арбитражный апелляционный суд постановлением от 21.12.2020 решение от 22.09.2020 изменил: взыскал 2 750 000 рублей неустойки, в удовлетворении остальной части иска отказал. Арбитражный суд Уральского округа постановлением от 26.02.2021 постановление Восемнадцатого арбитражного апелляционного суда от 21.12.2020 оставил без изменения. В кассационной жалобе фирма просит об отмене судебных актов апелляционного и окружного судов, ссылаясь на неверные выводы судов о сумме задолженности на момент подачи иска и валюте договора, ошибочность расчета суммы неустойки и неосновательность ее уменьшения.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рассмотревший дело, установил, что на момент предъявления иска обязательство по оплате задолженности за поставленный по договору от 21.04.2017 № 2111/22017 товар исполнено ответчиком. Доводы заявителя о валюте договора, размере задолженности, расчете неустойки и основательности ее уменьшения были предметом рассмотрения и отклонены с правильной правовой мотивацией. Названные доводы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коммерческая фирма «Регионресурсы»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