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мая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Волгоградской области от 18.06.2020, оставленным без изменения постановлением Двенадцатого арбитражного апелляционного суда от 03.09.2020 и постановлением Арбитражного суда Поволжского округа от 28.12.2020, иск удовлетворен частично. В кассационной жалобе центр просит об отмене судебных актов, ссылаясь на неосновательные уменьшение согласованной зачтенной неустойки и взыскание процентов.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2 Таких оснований в связи с доводами жалобы не усматривается. Обстоятельства, составляющие условия для применения договорной ответственности, установлены судами в пределах компетенции и требуемая их переоценка не создает оснований для кассационного пересмотра судебных актов. Проценты, предусмотренные статьей 395 Гражданского кодекса Российской Федерации, начислены в связи с просрочкой оплаты товара.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«Федеральный научно- производственный центр «Титан – Баррикады»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