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19.08.2020 в удовлетворении иска общества «Нико» отказано. Иск общества «СпецСтройМонтаж» удовлетворен частично. Постановлением Одиннадцатого арбитражного апелляционного суда от 17.11.2020, оставленным без изменения постановлением Арбитражного суда Поволжского округа от 28.01.2021, решение изменено: исковые требования общества «Нико» удовлетворены, исковые требования «СпецСтройМонтаж» удовлетворены частично; в результате зачета взысканных сумм с общества «СпецСтройМонтаж» в пользу общества «Нико» взыскано 1 165 244 рубля 84 копейки. В кассационной жалобе общество «СпецСтройМонтаж» просит об отмене судебных актов, ссылаясь на неосновательные начисление износа на 2 некачественный автомобиль и освобождение продавца от обязанности возместить убытки в связи с поставкой некачественного автомобиля.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возложил на общество «СпецСтройМонтаж» ответственность за износ автомобиля в связи с установлением его эксплуатации и повреждении в дорожно-транспортном происшествии, влекущими невозможность возврата в изначальном состоянии в качестве последствия расторжения договора. Требуемая переоценка выводов судов в отношении условий взыскания убытков не отвечает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«СпецСтройМонтаж»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