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18.08.2020, оставленным без изменения постановлением Тринадцатого арбитражного апелляционного суда от 29.10.2020, производство по делу в части признания договора недействительным и применения последствий недействительности прекращено в связи с отказом от этих требований, в удовлетворении иска в остальной части отказано. 2 Арбитражный суд Северо-Западного округа постановлением от 22.01.2021 решение от 18.08.2020 и постановление Тринадцатого арбитражного апелляционного суда от 29.10.2020 оставил без изменения. В кассационной жалобе администрация просит об отмене судебных актов, ссылаясь на неисследование имеющих значение обстоятельств и нарушение норм права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основании договора от 13.01.2017 № 17-09 СНиЭБ службой были оказаны услуги, принятые администрацией без возражений и оплаченные. Поскольку доказательств ненадлежащего исполнения службой обязательств не представлено, суды, руководствуясь статьями 779, 1102 Гражданского кодекса Российской Федерации, отказали в возврате в качестве неосновательного обогащения уплаченных за оказанные услуги денежных средств. Вопросы доказывания и оценки доказательств, на которых основаны доводы жалобы, не обладают критериями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«Администрация морских портов Балтийского моря»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