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обратился в Арбитражный суд Алтайского края с иском о взыскании с сельскохозяйственного производственного кооператива «Имени Кирова» 1 700 000 рублей перечисленных денежных средств и 27 302 рублей процентов за пользование чужими денежными средствами за период с 14.12.2017 по 28.02.2018. К участию в деле в качестве третьего лица, не заявляющего самостоятельных требований относительно предмета спора, привлечен ФИО2. Решением Арбитражного суда Алтайского края от 23.11.2018 иск удовлетворен. Постановлением Седьмого арбитражного апелляционного судаот 07.03.2019 решение суда первой инстанции оставлено без изменения. Арбитражный суд Западно-Сибирского округа постановлениемот 08.07.2019 указанные судебные акты оставил без изменения. Сельскохозяйственный производственный кооператив «Имени Кирова» обратился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нарушения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том числе заключение судебной почерковедческой и технической экспертизы, договор от 04.12.2017 и товарную накладную, подписание которых ответчик отрицает, в их совокупности и взаимной связи по правилам статей 71 , 86 Арбитражного процессуального кодекса Российской Федерации, руководствуясь положениями статей 160 , 431 , 432 , 434 , 487 , 1102 , 1107 Гражданского кодекса Российской Федерации, суды сделали вывод об отсутствии правовых оснований для удержания кооперативом перечисленных ему предпринимателем по платежным поручениям денежных средств, учитывая недоказанность заключения сторонами договора (разовой сделки) и поставки товара истцу. Установив просрочку возврата безосновательно полученных кооперативом денежных средств, суды взыскали с ответчика проценты за пользование денежными средствами. Доводы жалобы выводы судов не опровергают и не свидетельствуют о существенном нарушении судами норм материального и процессуального права, которые могли бы явиться основанием для пересмотра судебных актов в кассационном порядке, а фактически направлены на переоценку установленных судами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сельскохозяйственному производственному кооперативу «Имени Кирова»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Ответчики: СПК "имени Кирова" (подробнее) Иные лица: ОСП г. Рубцовска и Рубцовского района (подробнее) Судебная практика по: Неосновательное обогащение, взыскание неосновательного обогащения Судебная практика по применению нормы ст. 1102 ГК РФ Признание договора незаключенным Судебная практика по применению нормы ст. 432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