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04.08.2020, оставленным без изменения постановлением Четвертого арбитражного апелляционного суда от 09.10.2020, взыскано 90 000 рублей неустойки. Арбитражный суд Восточно-Сибирского округа постановлением от 25.01.2021 решение от 04.08.2020 и постановление Четвертого арбитражного апелляционного суда от 09.10.2020 оставил без изменения. В кассационной жалобе компания просит об отмене судебных актов, ссылаясь на неверное толкование условий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условия для применения договорной ответственности, установлены судами в пределах компетенции и не обладают критериями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«Федеральная сетевая компания Единой энергетической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Федеральная сетевая компания единой энергетической системы (подробнее) Ответчики: ООО АГЕНТСТВО ОХРАНЫ ГРАНИТ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