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21.04.2021 с ходатайством о восстановлении срока. Предприниматель обосновывает пропуск срока на подачу жалобы поздней публикацией текста постановления окружного суда и состоянием здоровья.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Согласно сведениям официального сайта текст постановления окружного суда от 04.02.2021 был опубликован 05.02.2021, что указывает на отсутствие нарушения судом срока его изготовления и рассылки, которые могли бы повлиять на подготовку и подачу жалобы. Невозможность личной подготовки жалобы преодолевается через представительство, поэтому не является поводом к восстановлению срока.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Будаковскому Андрею Витальевичу в восстановлении срока подачи кассационной жалобы на решение Арбитражного суда города Москвы от 14.07.2020 по делу № А40-85365/2020, постановление Девятого арбитражного апелляционного суда от 19.10.2020 и постановление Арбитражного суда Московского округа от 04.02.2021 по тому же делу. Возвратить индивидуальному предпринимателю Будаковскому Андрею Витальевичу кассационную жалобу. Возвратить индивидуальному предпринимателю Будаковскому Андрею Витальевичу из федерального бюджета 3 000 (три тысячи) рублей государственной пошлины, уплаченной за подачу кассационной жалобы платежным поручением от 21.04.2021 № 10.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