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17.07.2020, оставленным без изменения постановлением Семнадцатого арбитражного апелляционного суда от 21.09.2020, иск удовлетворен. Арбитражный суд Уральского округа постановлением от 28.12.2020 решение от 17.07.2020 и постановление Семнадцатого арбитражного апелляционного суда от 21.09.2020 оставил без изменения. В кассационной жалобе общество просит об отмене судебных актов, ссылаясь на отсутствие у истца законных прав на использование вагонов и начисление договорной неустойки по павилам законной.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правоотношения сторон основаны на договоре оказания транспортно-экспедиционных услуг при организации железнодорожных перевозок грузов от 18.06.2019 № 82, в котором определены срок оборота железнодорожных вагонов и согласована ответственность за его нарушение в виде неустойки. Суды признали допущение обществом простоя вагонов в качестве условия для взыскания неустойки, рассчитанной на основании пункта 5.9 договора.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«Производственный комплекс «Ларцы Черноземья»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