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25.04.2019, принятым в порядке упрощенного производства, иск удовлетворен. Девятый арбитражный апелляционный суд перешел к рассмотрению дела по общим правилам искового производства и постановлением от 19.11.2020 отменил решение от 25.04.2020 и отказал в удовлетворении иска. Арбитражный суд Московского округа постановлением от 19.02.2021 постановление Девятого арбитражного апелляционного суда от 19.11.2020 оставил без изменения. В кассационной жалобе предприниматель просит об отмене судебных актов апелляционного и окружного судов, ссылаясь на неосновательное восстановление срока на апелляционное обжалование и отсутствие 2 объективной оценки доводов истца и представленных ответчиком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восстановил ответчику срок на подачу жалобы, признав его ненадлежаще уведомленным о рассмотрении дела судом первой инстанции. В связи необходимостью исследования представленных ответчиком доказательств переход к рассмотрению дела по общим правилам искового производства соответствует требованиям статьи 227 Арбитражного процессуального кодекса Российской Федерации. Вопросы доказывания и оценки доказательств, поднятые в жалобе,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Балаяну В.Л.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