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13.04.2020 взыскано 4 485 810 рублей 05 копеек задолженности, 52 553 рубля 08 копеек процентов за пользование чужими денежными средствами. Постановлением Тринадцатого арбитражного апелляционного суда от 15.10.2020 решение изменено, иск удовлетворен в полном объеме. Постановлением Арбитражного суда Северо-Западного округа от 04.10.2019 постановление апелляционного суда отменено, решение оставлено в силе. В кассационной жалобе общество «Сириус» просит отменить постановление окружного суда, ссылаясь на неправильное определение размера процентов.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Возражения заявителя в отношении размера и периода начисления предусмотренных статьей 395 Гражданского кодекса Российской Федерации процентов, с которым связаны доводы жалобы, не отвечают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«Сириус»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"Сириус" (подробнее) Ответчики: ООО "Партнер Ай Ди" (подробнее) Иные лица: 13 ААС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