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Алтайского края от 04.06.2020, оставленным без изменения постановлением Седьмого арбитражного апелляционного суда от 02.09.2020, в удовлетворении первоначального иска отказано, встречный иск удовлетворен. Арбитражный суд Западно-Сибирского округа постановлением от 30.12.2020 отменил решение от 04.06.2020 и постановление Седьмого арбитражного апелляционного суда от 02.09.2020 в части отказа во взыскании неустойки по первоначальному иску и распределения судебных расходов и направил дело в отмененной части на новое рассмотрение в Арбитражный суд Алтайского края; в остальной части судебные акты оставил без изменения. 2 В кассационной жалобе компания просит об отмене судебных актов в части отказа во взыскании предварительно оплаченной суммы, ссылаясь на непередачу паспорта оборудования, не позволяющего идентифицировать соответствие оборудования договору.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на основании представленных и собранных доказательств установили соответствие полученного компанией оборудования условиям договора поставки от 03.11.2016 № 337 и не установили правового основания для возврата уплаченных за оборудование денежных средств.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«Производственная компания «Геркулес»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