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25.05.2020, оставленным без изменения постановлением Девятнадцатого арбитражного апелляционного суда от 19.08.2020, в удовлетворении иска отказано. Арбитражный суд Центрального округа постановлением от 28.12.2020 решение от 25.05.2020 и постановление Девятнадцатого арбитражного апелляционного суда от 19.08.2020 оставил без изменения. В кассационной жалобе индивидуальный предприниматель ФИО2 просит об отмене судебных актов, ссылаясь на ненадлежащую оценку правоотношений сторон и неистребование основания перечисления денежных средств у проводящего платеж банка.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65 Арбитражного процессуального кодекса Российской Федерации обязанность доказывания доводов в обоснование иска возложена на истца. Суды установили, что истец не доказал заявленное основание для перечисления денежных средств ответчику, для возврата которых в силу статьи 1102 Гражданского кодекса Российской Федерации пропущен срок исковой давности, примененный в связи с заявлением ответчика.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