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«ЮгСтройПроект» срок подачи кассационной жалобы на решение Арбитражного суда Тульской области от 21.02.2020 по делу № А68-12298/2019, постановление Двадцатого арбитражного апелляционного суда от 24.08.2020 и постановление Арбитражного суда Центрального округа от 24.12.2020 по тому же делу. Судья Верховного Суда Российской Федерации Н.А. Ксенофонтова Суд: Верховный Суд РФ (подробнее) Истцы: ООО "Ди Ферро" (подробнее) Ответчики: ООО "ЮгСтройПроект"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