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02.07.2020, оставленным без изменения постановлением Девятого арбитражного апелляционного суда от 05.11.2020, первоначальный иск удовлетворен, во встречном иске отказано. Арбитражный суд Московского округа постановлением от 28.01.2021 решение от 02.07.2020 и постановление Девятого арбитражного апелляционного суда от 05.11.2020 оставил без изменения. В кассационной жалобе общество «Абсолют Страхование» просит об отмене судебных актов, ссылаясь на игнорирование отсутствия у общества «Строй Век» страхового интереса и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истец является арендатором застрахованного имущества, что в силу статьи 930 Гражданского кодекса Российской Федерации подтверждает наличие интереса в сохранении этого имущества, и обратного страховщиком не доказано, поэтому удовлетворили иск в соответствии со статьей 929 Кодекса.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 с ограниченной ответственностью «Абсолют 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"Строй Век" (подробнее) Ответчики: ООО "Абсолют Страхование"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