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«Чаплин» обратилось в Арбитражный суд Удмуртской Республики с иском о взыскании с закрытого акционерного общества «Производственно-финансовая компания «ЗАРДОН- групп» 3 500 000 рублей неосновательного обогащения, 511 335 рублей 60 копеек процентов за пользование чужими денежными средствами за период с 09.11.2016 по 31.07.2018, с продолжением начисления процентов по день фактической оплаты задолженности. К участию в деле в качестве третьих лиц, не заявляющих самостоятельных требований относительно предмета спора, привлечены ФИО1, ФИО2, индивидуальный предприниматель ФИО3. Решением Арбитражного суда Удмуртской Республики от 08.04.2019 иск удовлетворен. Постановлением Семнадцатого арбитражного апелляционного суда от 29.07.2019 решение суда первой инстанции оставлено без изменения. Арбитражный суд Уральского округа постановлением от 12.12.2019 указанные судебные акты отменил и направил дело на новое рассмотрение в Арбитражный суд Удмуртской Республики. Общество с ограниченной ответственностью «Чаплин» обратилась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«Чаплин»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"Чаплин" (подробнее) Ответчики: ЗАО Производственно-финансовая компания "ЗАРДОН-групп"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