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03.09.2020, оставленным без изменения постановлением Восемнадцатого арбитражного апелляционного суда от 27.10.2020 и постановлением Арбитражного суда Уральского округа от 24.12.2020,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 предприниматель просит об отмене судебных актов, ссылаясь на различие предметов заявленного и ранее рассмотренного судом общей юрисдикции исков.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права в связи с приобретением некачественного автомобиля реализованы предпринимателем в деле № 2-24/2018 Саткинского городского суда Челябинской области, что препятствует рассмотрению по существу данного аналогичного иска.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Габову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