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07.08.2020, оставленным без изменения постановлением Тринадцатого арбитражного апелляционного суда от 09.10.2020 и постановлением Арбитражного суда Северо-Западного округа от 13.01.2021, иск оставлен без рассмотрения в связи с несоблюдением досудебного порядка урегулирования спора. В кассационной жалобе общество «СТХТ (САТЫХАТУР)» просит об отмене судебных актов, ссылаясь на обращение к страховщику, содержащее необходимые сведения, в качестве доказательства соблюдения досудебного порядка урегулирования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Заявление о наступлении страхового случая и выплате страхового возмещения подано во исполнение договора страхования и не подменяет собой предваряющую предъявление иска меру досудебного урегулирования спора, на что правильно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«СТХТ (Сатыхатур)»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