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03.09.2020, оставленным без изменения постановлением Семнадцатого арбитражного апелляционного суда от 25.11.2020, исковые требования удовлетворены. Арбитражный суд Уральского округа постановлением от 09.02.2021 решение от 03.09.2020 и постановление Семнадцатого арбитражного апелляционного суда от 25.11.2020 оставил без изменения. В кассационной жалобе банк просит об отмене судебных актов, ссылаясь на соответствие своих действий договору, закону и внутренним правилам.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ситуации предоставления истцом затребованных в обоснование совершаемых операций документов банк не доказал основание для применения оспариваемых мер, поэтому отказали в иске в силу статьи 65 Арбитражного процессуального кодекса Российской Федерации. Вопросы доказывания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