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22.06.2020 в удовлетворении иска отказано. Постановлением Восьмого арбитражного апелляционного суда от 06.10.2020, оставленным без изменения постановлением Арбитражного суда Западно-Сибирского округа от 28.12.2020, решение отменено, иск удовлетворен. В кассационной жалобе общество просит об отмене судебных актов апелляционного и окружного судов, ссылаясь на то, что является ненадлежащим ответчиком и дело рассмотрено апелляционным судом в незаконном составе.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Обязанность возмещения убытков возложена на общество как собственника транспортного средства, при использовании которого причинен вред, в силу статей 15, 1079 Гражданского кодекса Российской Федерации. Правоотношения общества с лицом, управлявшим транспортным средством, выходят за пределы рассматриваемого дела. Нарушения содержащихся в статье 18 Арбитражного процессуального кодекса Российской Федерации правил формирования состава апелляционного суда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«Мотор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