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12.02.2020, оставленным без изменения постановлением Пятнадцатого арбитражного апелляционного суда от 10.07.2020 и постановлением Арбитражного суда Северо-Кавказского округа от 17.12.2020, иск удовлетворен. В кассационной жалобе общество просит об отмене судебных актов вследствие несоразмерности неустойки и несоответствия ее периоду просрочки.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Обстоятельства, составляющие условия для применения договорной ответственности и влияющие на ее размер, установлены судами в пределах компетенции и не подлежат пересмотру в кассационном порядке.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«Шин-лайн»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Ответчики: ООО "ШИН-ЛАЙН"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