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10.07.2020, оставленным без изменения постановлением Тринадцатого арбитражного апелляционного суда от 22.10.2020, в иске отказано. Постановлением Арбитражного суда Северо-Западного округа от 24.02.2021 решение и постановление апелляционного суда в части отказа во взыскании задолженности и процентов отменены, в указанной части дело направлено на новое рассмотрение в суд первой инстанции. В кассационной жалобе общество «ВИП технолоджи» просит отменить постановление окружного суда, ссылаясь на неосновательную переоценку обстоятельств исполнения договора и условий для его расторжения. Согласно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несоответствие выводов нижестоящих судов об отсутствии условий для расторжения договора и применения последствий расторжения договора обстоятельствам исполнения договора и закону, в связи с чем признал необходимость нового рассмотрения дела в пределах полномочий, предоставленных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«ВИП Технолоджи»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