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21.08.2020, оставленным без изменения постановлениями Тринадцатого арбитражного апелляционного суда от 28.11.2020 и Арбитражного суда Северо-Западного округа от 03.03.2021,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выездной проверки исполнения обществом ранее выданного предписания от 26.04.2019 № 505 комитетом выявлено, что указанное предписание исполнено не в полном объеме, обществом допущены нарушения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 (далее – Правила № 170), в связи с чем выдано повторное предписание. Предписанием комитета на общество возложена обязанность устранить выявленные нарушения в срок до 23.01.2020. Не согласившись с ненормативным правовым актом комитета,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статьи 161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Минимальным перечнем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утвержденным постановлением Правительства Российской Федерации от 03.04.2013 № 290, Правилами № 170, пришли к выводу о том, что оспариваемое предписание соответствует действующему законодательству и не нарушает права и интересы общества. Судебные инстанции исходили из того, что общество, как управляющая организация, обязано систематически осуществлять обследование состояния общего имущества многоквартирного дома, фиксировать недостатки (дефекты), а также обязано разработать план восстановительных работ и провести необходимые восстановительные работы, относящиеся к текущему ремонту.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3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«Жилищное 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