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31.01.2020, оставленным без изменения постановлением Семнадцатого арбитражного апелляционного суда от 29.07.2020 и постановлением Арбитражного суда Уральского округа от 22.12.2020, в удовлетворении заявленного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жилищной инспекцией в отношении общества проведена внеплановая документарная проверка в целях проверки фактов нарушений лицензионных требований, изложенных в обращении от 08.10.2019 в части правомерности установления платы за содержание жилого помещения за период с августа по сентябрь 2019 года в многоквартирном доме. В ходе проверки жилищной инспекцией установлено, что собственники помещений многоквартирного дома на общем собрании 12.01.2015 приняли решение об установлении размера платы за услуги по управлению домом, содержанию и текущему ремонту общего имущества в доме с января 2015 года в размере 16,11 руб./кв.м. в месяц. Между тем, в платежных документах за август, сентябрь 2019 года собственникам помещений многоквартирного дома за соответствующий период предъявлена плата за содержание жилого помещения в размере 17,17 руб./кв.м. По результатам проверки инспекцией составлен акт и выдано предписание об устранении выявленных нарушений. Не согласившись с указанным предписанием, общество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статей 154, 156, 158, 162 Жилищного кодекса Российской Федерации, пунктом 31 Правил содержания общего имущества в многоквартирном доме, утвержденных постановлением Правительства Российской Федерации от 13.08.2006 № 491, пришли к выводу о том, что оспариваемое предписание соответствует действующему законодательству и не нарушает права и законные интересы заявителя. Судебные инстанции исходили из доказанности жилищной инспекцией обстоятельств неправомерного установления размера платы за содержание общего имущества в многоквартирном доме, который не был утвержден решением общего собрания собственников помещений в доме и не был установлен органом местного самоуправления. Суды указали, что обществом не представлено в материалы дела документального подтверждения установления общим собранием собственников помещений спорного многоквартирного дома тарифа на 3 содержание жилого помещения в размере 17,17 руб./кв.м., в связи с чем признали оспариваемое предписание законным и обоснованным. Доводы общества, изложенные в кассационной жалобе, в том числе о толковании условий договора об индексации установленного тарифа, являлись предметом рассмотрения судов трех инстанций и им дана надлежащая правовая оценка.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«Меридиан»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