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11.12.2019 с учреждения в пользу общества взыскано 57 639 190 рублей 57 копеек задолженности за выполненные работы; при недостаточности денежных средств взыскание производится за счет казны с муниципального образования Пушкинский муниципальный район в лице Администрации Пушкинского муниципального района и/или Московской области в лице Министерства строительного комплекса Московской области (далее – министерство). Определением Десятого арбитражного апелляционного суда от 10.02.2020, оставленным без изменения постановлением Арбитражного суда Московского округа от 03.07.2020, возвращена апелляционная жалоба министерства на решение суда первой инстанции в связи с отказом в восстановлении пропущенного процессуального срока ее подачи. Постановлением Арбитражного суда Московского округа от 03.07.2020 решение суда первой инстанции отменено, в удовлетворении иска отказано. Не согласившись с принятым постановлением суда округа, общество обратилось в Верховный Суд Российской Федерации с кассационной жалобой, в которой просит его отменить как незаконное и необоснованное.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судебного акта в кассационном порядке по доводам жалобы отсутствуют. Как следует из судебных актов и установлено судом, исковые требования мотивированы наличием задолженности по оплате работ, выполненных обществом (подрядчик) и принятых учреждением (заказчик) в соответствии с условиями заключенного между сторонами муниципального контракта от 28.12.2017 № 45. Удовлетворяя заявленные требования, суд первой инстанции исходил из неисполнения учреждением обязательств по оплате согласованных, выполненных и принятых работ, признав допустимым выполнение обществом дополнительных объемов работ без заключения соответствующего соглашения к контракту. Отменяя решение суда первой инстанции и отказывая в удовлетворении исковых требований, суд округа, руководствуясь положениями статей 702 , 709 , 720 , 740 , 743 , 744 , 753 Гражданского кодекса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учитывая правовые позиции, изложенные в постановлениях Президиума Высшего Арбитражного Суда Российской Федерации от 28.05.2013 № 18045/12 и от 04.06.2013 № 37/13, определении Верховного Суда Российской Федерации от 26.01.2016 № 303-ЭС15-13256, пункте 4 раздела II «Разрешение споров, возникающих из обязательственных правоотношений» Обзора судебной практики Верховного Суда Российской Федерации № 3 (2015), утвержденного Президиумом Верховного Суда Российской Федерации 25.11.2015, пункте 20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пришел к выводу, что выполнение дополнительных работ без заключенного в установленном порядке государственного контракта не порождает у подрядчика право требовать их оплаты, поскольку в рассматриваемом случае цена контракта является твердой и не может изменяться в ходе его исполнения. Принимая обжалуемое постановление, суд кассационной инстанции действовал в пределах полномочий, предоставленных ему статьей 287 Арбитражного процессуального кодекса Российской Федерации, и по основаниям, предусмотренным статьей 288 Арбитражного процессуального кодекса Российской Федерации. При этом в качестве основания для отмены решения суда первой инстанции суд округа указал на неправильное применение норм материального права, не усмотрев нарушений норм процессуального права. Несогласие общества с толкованием судом округа норм законодательства применительно к установленным фактическим обстоятельствами дела в силу статьи 291.6 Арбитражного процессуального кодекса Российской Федерации не является основанием для пересмотра обжалуемого судебного акта в кассационном порядке. Приведенные в жалобе доводы выводы суда округа не опровергают, не подтверждают существенных нарушений норм материального и (или) процессуального права, повлиявших на исход дела, и не могут служить достаточным основанием для пересмотра судебного акта в порядке кассационного производства. Исходя из изложенного,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Д.В. ТютинРоссийской Федерации Суд: Верховный Суд РФ (подробнее) Истцы: ООО Строительная компания "Новый век" (подробнее) Ответчики: Администрация Пушкинского муниципального района МО (подробнее) Министерство строительного комплекса Московской области (подробнее) муниципальное казенное учреждение "Управление капитального строительства" (подробнее) Последние документы по делу: Резолютивная часть определения от 19 мая 2021 г. по делу № А41-95103/2019 Определение от 29 апреля 2021 г. по делу № А41-95103/2019 Определение от 8 апреля 2021 г. по делу № А41-95103/2019 Определение от 26 октября 2020 г. по делу № А41-95103/2019 Показать все документы по этому делу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