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13.07.2020, оставленным без изменения постановлениями Девятого арбитражного апелляционного суда от 08.10.2020 и Арбитражного суда Московского округа от 22.01.2021, исковое заявление удовлетворено. В кассационной жалобе, поданной в Верховный Суд Российской Федерации, ООО «Главная линия»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Министерством обороны Российской Федерации (далее - министерство) и АО «Военторг» заключен государственный контракт от 30.12.2016 № 301216/ВП на оказание услуг по организации питания. Кроме того, между АО «Военторг» и ООО «Главная линия» (соисполнитель) заключен договор от 30.12.2016 № ОП-17-14 на оказание услуг по организации питания военнослужащих министерства. В обоснование иска АО «Военторг» ссылается на то, что ненадлежащее оказание ООО «Главная линия» услуг по организации питания в войсковой части повлекло за собой обращение министерства (заказчик по государственному контракту) в суд с иском о взыскании с истца неустойки, который удовлетворен в размере 60 610 523 рублей 25 копеек. Оценив представленные в материалы дела доказательства, суды, руководствуясь положениями статей 15, 393, 394, 401, 1064 Гражданского кодекса Российской Федерации, принимая во внимание обстоятельства, установленные по результатам рассмотрения дела № А40-256246/2018, установив факт нарушения обязательств по договору со стороны ответчика, пришли к выводу о наличии совокупности условий для привлечения ответчика к гражданско-правовой ответственности в виде возмещения убытков. Судебные инстанции исходили из наличия причинно-следственной связи между понесенными АО «Военторг» убытками и действиями ООО «Главная линия», как непосредственного исполнителя услуг, повлекшими несение АО «Военторг» расходов на оплату неустойки министерству. Обстоятельства данного спора и представленные доказательства были предметом рассмотрения и оценки судов. Ссылка в кассационной жалобе на не указание в судебных актах всех имеющихся в деле доказательств и доводов заявителя подлежит отклонению, 3 поскольку не свидетельствует об отсутствии их надлежащей судебной проверки и оценки. Приведенные в жалобе доводы не свидетельствуют о существенных нарушениях судами норм материального и процессуального права, повлиявших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в связи с чем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«Главная линия»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