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Дроздов В.В. обратился в суд с заявлением о включении в реестр требований кредиторов должника по передаче жилых помещений (далее – реестр жилых помещений) его требования в отношении квартиры № 15 с кадастровым номером 23:38:0103002:2936, общей площадью 65,9 кв. м, жилой − 22,4 кв.м, площадью лоджий 10,9 кв. м (5,5 кв. м и 45,4 кв. м), назначением жилое, этаж № 2, по адресу: Краснодарский край, г. Армавир, ул. Односторонняя, д. 18, кв. 15. Определением Арбитражного суда Краснодарского края от 29.09.2020 восстановлен срок на подачу заявления, а требование включено в реестр. Постановлением Пятнадцатого арбитражного апелляционного суда от 08.12.2020, оставленным без изменения постановлением Арбитражного суда Северо-Кавказского округа от 27.02.2021, вышеуказанное определение отменено. В третью очередь реестра требований кредиторов должника включено требование Дроздова В.В. в размере 1 550 000 рублей, в удовлетворении остальной части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суда первой инстанции и повторно разрешая спор, суды апелляционной инстанции и округа, руководствуясь статьями 201.1, 201.4, 201.6 Федерального закона от 26.10.2002 № 127-ФЗ «О несостоятельности (банкротстве)», абзацем вторым пункта 23 постановления Пленума Высшего Арбитражного Суда Российской Федерации от 17.02.2011 № 10 «О некоторых вопросах применения законодательства о залоге», не установили оснований для включения в реестр жилых помещений основанного на недействительной сделке требования заявителя, но необходимости защиты его прав как участника строительства в пределах уплаченной им должнику суммы денежных средств, в связи с чем включили денежное требование заявителя в третью очередь реестра требований кредиторов должника.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Дроздову Владимиру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