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вышеуказанные судебные акты, одновременно заявив ходатайство об отсрочке уплаты государственной пошлины. В соответствии со статьей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Верховный Суд Российской Федерации,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2 либо уменьшить ее размер, а также отсрочить (рассрочить) ее уплату в порядке, предусмотренном статьей 333.41 настоящего Кодекса. Поскольку обществом в обоснование ходатайства представлены документы, свидетельствующие об отсутствии возможности уплатить государственную пошлину по кассационной жалобе, ходатайство признается обоснованным и подлежит удовлетворению. Принимая во внимание изложенное, руководствуясь статьями 184 и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«Агропродукт» об отсрочке уплаты государственной пошлины за рассмотрение кассационной жалобы удовлетворить. Предоставить обществу с ограниченной ответственностью «Агропродукт» отсрочку уплаты государственной пошлины до окончания производства по кассационной жалобе на решение Арбитражного суда Кемеровской области от 06.08.2020, постановление Седьмого арбитражного апелляционного суда от 02.11.2020 и постановление Арбитражного суда Западно-Сибирского округа от 30.03.2021 по делу № А27-20619/2019.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