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антимонопольной службы по Нижегородской области (далее – антимонопольный орган) обратилось в суд с заявлением о признании недействительными торгов по продаже имущества должника, проведенных посредством публичного предложения (лот № 9); договора купли-продажи, заключенного конкурсным управляющим с победителем торгов. Определением Арбитражного суда Нижегородской области от 06.07.2020, оставленным без изменения постановлениями Первого арбитражного апелляционного суда от 03.11.2020 и Арбитражного суда Волго-Вятского округа от 03.02.2021,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антимонопольного органа.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447, 449 Гражданского кодекса Российской Федерации, статьями 110, 138 Федерального закона от 26.10.2002 № 127-ФЗ «О несостоятельности (банкротстве)», исходили из отсутствия оснований для признания недействительными оспариваемых торгов по продаже имущества должника (не относящегося к категории объектов культурного наследия) и заключенной по их результатам сделки, в том числе недоказанности нарушения прав самого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