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05.10.2020, оставленным без изменения постановлениями Шестнадцатого арбитражного апелляционного суда от 30.11.2020 и Арбитражного суда Северо-Кавказского округа от 11.02.2021, в удовлетворении заявленного требования отказано. В кассационной жалобе общество ставит вопрос об отмене принятых по делу судебных актов, ссылаясь на нарушение судами норм права. 2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по результатам рассмотрения жалобы общества на действия учреждения (заказчик) при формировании документации к аукциону на поставку лекарственных средств для медицинского применения (растворы плазмозамещающие и перфузионные) в целях обеспечения государственных нужд Ставропольского края в части указания требований к первичной упаковке товара антимонопольным органом принято решение о признании жалобы необоснованной. Не согласившись с решением управления, общество обратилось в арбитражный суд. Исследовав и оценив представленные в материалы дела доказательства, руководствуясь положениями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постановлением Правительства Российской Федерации от 15.11.2017 № 1380 «Об особенностях описания лекарственных препаратов для медицинского применения, являющихся объектом закупки для обеспечения государственных и муниципальных нужд», правовой позицией, изложенной в Обзоре судебной практики применения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нужд, утвержденном Президиумом Верховного Суда Российской Федерации 28.06.2017, суды пришли к выводу о том, что оспариваемый ненормативный правовой акт антимонопольного органа соответствует действующему законодательству. Судебные инстанции исходили из того, что установление спорных требований к упаковке обусловлено спецификой лечебного процесса, используемых технологий в лечебном процессе и соответственно спецификой закупаемого товара и его применения, что не может рассматриваться как ограничение доступа к участию в аукционе. Обжалуя судебные акты в Верховный Суд Российской Федерации, общество приводит доводы, которые являлись предметом рассмотрения судов и получили надлежащую правовую оценку. 3 С учетом изложенного, приведенные в жалобе доводы не свидетельствуют о допущенной при рассмотрении дела судебной ошибке, не подтверждают существенных нарушений судами норм материального права и норм процессуального права, в связи с чем не могут служить основанием для передачи жалобы на рассмотрение в судебном заседании Судебной коллегии Верховного Суда Российской Федерации. При таких обстоятельствах,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открытому акционерному обществу «Фирма Медполимер»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