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Козел И.В. обратилась в суд с заявлением о признании обоснованным и включении в третью очередь реестра требований кредиторов должника (далее – реестр) её требования в размере 104 148 рублей 89 копеек. Определением Арбитражного суда города Москвы от 10.08.2020 заявление удовлетворено в части включения в третью очередь реестра требования в размере 80 892 рублей 34 копеек, производство по требованию в размере 23 256 рублей 55 копеек прекращено. Постановлением Девятого арбитражного апелляционного суда от 17.11.2020, оставленным без изменения постановлением Арбитражного суда Московского округа от 05.02.2021, названное определение отменено. Требование в размере 79 722 рублей 34 копеек признано необоснованным и не подлежащим включению в реестр, производство по требованию в размере 24 426 рублей 55 копеек прекращено. В кассационной жалобе, поданной в Верховный Суд Российской Федерации, заявитель просит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статьями 5, 71, 100, 142 Федерального закона от 26.10.2002 № 127-ФЗ «О несостоятельности (банкротстве)» и ввиду отсутствия доказательств несения заявителем расходов по обеспечению хозяйственной деятельности должника за счёт личных денежных средств в заявленном размере, не установили оснований для признания части её требований обоснованными и подлежащими учёту в реестре, прекратив производство в остальной части платежей, совершенных после возбуждения настоящего дела о банкротстве и являющихся текущими.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Козел Ирине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