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Хакасия от 08.07.2020, оставленным без изменения постановлениями Третьего арбитражного апелляционного суда от 27.10.2020 и Арбитражного суда Восточно-Сибирского округа от 20.01.2021, завершена процедура реализации имущества должника; должник освобождён от дальнейшего исполнения требований кредиторов, в том числе требований кредиторов, незаявленных при введении реализации имущества гражданина. В кассационной жалобе, поданной в Верховный Суд Российской Федерации, заявитель просит отменить названные судебные акты. Исходя из доводов кассационной жалобы, заявитель не согласен с судебными актами в части освобождения должника от исполнения требований кредиторов.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пунктами 42, 45,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освободили должника от дальнейшего исполнения требований перед заявителем ввиду отсутствия доказательств его недобросовестного поведения, признаков преднамеренного и фиктивного банкротства, сокрытия или уничтожения принадлежащего ему имущества, сообщения финансовому управляющему и кредиторам недостоверных сведений.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Лукину Владимиру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Лукина Владимира Ивановича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