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06.07.2020, оставленным без изменения постановлениями Семнадцатого арбитражного апелляционного суда от 24.09.2020 и Арбитражного суда Уральского округа от 18.01.2021, в удовлетворении иска отказано. В кассационной жалобе, поданной в Верховный Суд Российской Федерации, общество ставит вопрос об отмене принятых по делу судебных актов, ссылаясь на существенное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учреждением (заказчик) и обществом заключен государственный контракт от 11.09.2019 на поставку технических средств реабилитации – цифровых заушных сверхмощных слуховых аппаратов. За нарушение условия контракта в части места выдачи слуховых аппаратов, заказчиком начислен штраф, который уплачен банком-гарантом в рамках банковской гарантии. Ссылаясь на отсутствие убытков со стороны заказчика, а также на то, что неустойка явно несоразмерна последствиям нарушения обязательства и подлежит уменьшению, общество обратилось в арбитражный суд. Оценив представленные в материалы дела доказательства, суды, руководствуясь положениями статей 329, 330, 525, 526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пришли к выводу об отсутствии оснований для удовлетворения иска. При этом судебные инстанции исходили из того, что обществом были нарушены существенные условия контракта, что является грубым нарушением условий контракта; на общество правомерно возложена ответственность за нарушение обязательств в соответствии с пунктом 7.4.1 контракта; отсутствуют основания для применения статьи 333 Гражданского кодекса Российской Федерации. Доводы, изложенные в кассационной жалобе, повторяют позицию общества по спору и не опровергают выводы судов, сделанные на основании правильного применения норм права к установленным обстоятельствам дела. Приведенные в жалобе доводы не свидетельствуют о допущенной при рассмотрении дела судебной ошибке, не подтверждают существенных 3 нарушений судами норм материального права и норм процессуального права,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«Социнвест»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