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03.07.2020 завершено конкурсное производство в отношении должника. Впоследствии общество обратилось в Девятый арбитражный апелляционный суд с апелляционной жалобой на вышеуказанное определение суда первой инстанции от 03.07.2020, заявив ходатайство о восстановлении пропущенного срока на подачу жалобы. Определением Девятого арбитражного апелляционного суда от 22.10.2020, оставленным без изменения постановлением Арбитражного суда Московского округа от 12.02.2021, отказано в удовлетворении ходатайства о восстановлении срока, прекращено производство по жалобе. В кассационной жалобе, поданной в Верховный Суд Российской Федерации, заявитель просит отменить указанные определение апелляционного суда от 22.10.2020 и постановление суда округа от 12.02.2021, направить обособленный спор на новое рассмотрение в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суд, руководствуясь положениями статей 48, 117, 150 и 259 Арбитражного процессуального кодекса Российской Федерации, статей 34 и 35 Федерального закона от 26.10.2002 № 127-ФЗ «О несостоятельности (банкротстве)», указав на то, что общество на момент вынесения обжалуемого определения не обращалось в суд с заявлением о включении его требований в реестр требований кредиторов или о процессуальном правопреемстве, пришел к выводу о пропуске заявителем процессуального срока на подачу жалобы и отсутствия уважительных причин для его восстановления. Проверяя обоснованность прекращения производства по жалобе заявителя, окружной суд не установил нарушений норм процессуального права и согласился с вышеуказанными выводами.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«Содержание Плюс»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