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сделок (банковских операций) по перечислению должником в период с 08.10.2015 по 16.11.2015 денежных средств в пользу Киреевой Ларисы Анатольевны (далее – ответчик) на общую сумму 535 982,73 евро (38 148 069 руб.); применении последствий их недействительности. Определением суда Арбитражного суда города Москвы от 20.12.2019, оставленным без изменения постановлениями Девятого арбитражного апелляционного суда от 29.07.2020 и Арбитражного суда Московского округа от 02.02.2021,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дополнений, таких оснований не установлено. Разрешая спор, суды, руководствуясь статьями 61.1 – 61.3 Федерального закона от 26.10.2002 № 127-ФЗ «О несостоятельности (банкротстве)», разъяснениями, приведенными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недоказанности заявителем совокупности условий для признания недействительными оспариваемых банковских операций, не подпадающих по период подозрительности сделок с предпочтением и по которым ответчик не являлся получателем денежных средств, направленных на погашение просроченной кредиторской задолженности в пользу банка.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«Экспотрейд»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