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Незнамов Александр Васильевич обратился в суд с заявлением о солидарном возмещении в пользу должника убытков, причинённых бывшими руководителями общества Морозовым И.А., Бородиным Михаилом Павловичем и Щупаком Владимиром Ивановичем. Определением Арбитражного суда города Москвы от 12.08.2020, оставленным без изменения постановлениями Девятого арбитражного апелляционного суда от 03.11.2020 и Арбитражного суда Московского округа от 22.01.2021, с Морозова И.А. в пользу должника взысканы убытки в размере 4 322 918 рублей 57 копеек, отказано в удовлетворении требований к Бородину М.П. и Щупаку В.И. В кассационной жалобе, поданной в Верховный Суд Российской Федерации, заявитель просит отменить названные судебные акты в части удовлетворения требований к Морозову И.А.,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15 и 53 Гражданского кодекса Российской Федерации, установив наличие причинно-следственной связи между действиями (бездействием) Морозова И.А. и возникшими убытками на стороне должника в указанном размере ввиду утраты возможности пополнить конкурсную массу путём взыскания дебиторской задолженности, пришли к выводу об обоснованности заявления в данной части.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Морозову Игорю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